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b/>
          <w:bCs/>
          <w:sz w:val="36"/>
          <w:szCs w:val="36"/>
        </w:rPr>
      </w:pPr>
      <w:r>
        <w:rPr>
          <w:rFonts w:hint="eastAsia"/>
          <w:b/>
          <w:bCs/>
          <w:sz w:val="36"/>
          <w:szCs w:val="36"/>
        </w:rPr>
        <w:t>2020-2021学年第二</w:t>
      </w:r>
      <w:r>
        <w:rPr>
          <w:b/>
          <w:bCs/>
          <w:sz w:val="36"/>
          <w:szCs w:val="36"/>
        </w:rPr>
        <w:t>学期第一周</w:t>
      </w:r>
    </w:p>
    <w:p>
      <w:pPr>
        <w:shd w:val="clear"/>
        <w:jc w:val="center"/>
        <w:rPr>
          <w:rFonts w:hint="eastAsia" w:eastAsiaTheme="minorEastAsia"/>
          <w:b/>
          <w:bCs/>
          <w:sz w:val="32"/>
          <w:szCs w:val="32"/>
          <w:lang w:eastAsia="zh-CN"/>
        </w:rPr>
      </w:pPr>
      <w:r>
        <w:rPr>
          <w:rFonts w:hint="eastAsia"/>
          <w:b/>
          <w:bCs/>
          <w:sz w:val="36"/>
          <w:szCs w:val="36"/>
        </w:rPr>
        <w:t>研究生线上教学情况</w:t>
      </w:r>
      <w:bookmarkStart w:id="0" w:name="_GoBack"/>
      <w:bookmarkEnd w:id="0"/>
      <w:r>
        <w:rPr>
          <w:rFonts w:hint="eastAsia"/>
          <w:b/>
          <w:bCs/>
          <w:sz w:val="36"/>
          <w:szCs w:val="36"/>
          <w:lang w:eastAsia="zh-CN"/>
        </w:rPr>
        <w:t>通报</w:t>
      </w:r>
    </w:p>
    <w:p>
      <w:pPr>
        <w:pStyle w:val="10"/>
        <w:shd w:val="clear"/>
      </w:pPr>
    </w:p>
    <w:p>
      <w:pPr>
        <w:pStyle w:val="10"/>
        <w:shd w:val="clear"/>
        <w:ind w:firstLine="560" w:firstLineChars="200"/>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按照学校党委关于疫情防控期间教学工作的统一部署，研究生处及时调整本学期研究生教学工作安排， 202</w:t>
      </w:r>
      <w:r>
        <w:rPr>
          <w:rFonts w:ascii="仿宋_GB2312" w:hAnsi="微软雅黑" w:eastAsia="仿宋_GB2312" w:cs="宋体"/>
          <w:color w:val="333333"/>
          <w:kern w:val="0"/>
          <w:sz w:val="28"/>
          <w:szCs w:val="28"/>
        </w:rPr>
        <w:t>1</w:t>
      </w:r>
      <w:r>
        <w:rPr>
          <w:rFonts w:hint="eastAsia" w:ascii="仿宋_GB2312" w:hAnsi="微软雅黑" w:eastAsia="仿宋_GB2312" w:cs="宋体"/>
          <w:color w:val="333333"/>
          <w:kern w:val="0"/>
          <w:sz w:val="28"/>
          <w:szCs w:val="28"/>
        </w:rPr>
        <w:t xml:space="preserve"> 年 3 月 </w:t>
      </w:r>
      <w:r>
        <w:rPr>
          <w:rFonts w:ascii="仿宋_GB2312" w:hAnsi="微软雅黑" w:eastAsia="仿宋_GB2312" w:cs="宋体"/>
          <w:color w:val="333333"/>
          <w:kern w:val="0"/>
          <w:sz w:val="28"/>
          <w:szCs w:val="28"/>
        </w:rPr>
        <w:t>8</w:t>
      </w:r>
      <w:r>
        <w:rPr>
          <w:rFonts w:hint="eastAsia" w:ascii="仿宋_GB2312" w:hAnsi="微软雅黑" w:eastAsia="仿宋_GB2312" w:cs="宋体"/>
          <w:color w:val="333333"/>
          <w:kern w:val="0"/>
          <w:sz w:val="28"/>
          <w:szCs w:val="28"/>
        </w:rPr>
        <w:t xml:space="preserve">日，正式启动研究生线上教学工作。现将研究生线上教学第一周运行情况报告如下。 </w:t>
      </w:r>
    </w:p>
    <w:p>
      <w:pPr>
        <w:pStyle w:val="11"/>
        <w:widowControl/>
        <w:numPr>
          <w:ilvl w:val="0"/>
          <w:numId w:val="1"/>
        </w:numPr>
        <w:shd w:val="clear" w:color="auto"/>
        <w:spacing w:line="360" w:lineRule="auto"/>
        <w:ind w:right="70" w:firstLineChars="0"/>
        <w:jc w:val="left"/>
        <w:rPr>
          <w:rFonts w:ascii="黑体" w:hAnsi="黑体" w:eastAsia="黑体" w:cs="宋体"/>
          <w:b/>
          <w:bCs/>
          <w:color w:val="333333"/>
          <w:kern w:val="0"/>
          <w:sz w:val="28"/>
          <w:szCs w:val="28"/>
        </w:rPr>
      </w:pPr>
      <w:r>
        <w:rPr>
          <w:rFonts w:hint="eastAsia" w:ascii="黑体" w:hAnsi="黑体" w:eastAsia="黑体" w:cs="宋体"/>
          <w:b/>
          <w:bCs/>
          <w:color w:val="333333"/>
          <w:kern w:val="0"/>
          <w:sz w:val="28"/>
          <w:szCs w:val="28"/>
        </w:rPr>
        <w:t>线上教学准备情况</w:t>
      </w:r>
    </w:p>
    <w:p>
      <w:pPr>
        <w:widowControl/>
        <w:shd w:val="clear" w:color="auto"/>
        <w:spacing w:line="360" w:lineRule="auto"/>
        <w:ind w:right="70" w:firstLine="700" w:firstLineChars="250"/>
        <w:rPr>
          <w:rFonts w:ascii="微软雅黑" w:hAnsi="微软雅黑" w:eastAsia="微软雅黑" w:cs="宋体"/>
          <w:color w:val="333333"/>
          <w:kern w:val="0"/>
          <w:szCs w:val="21"/>
        </w:rPr>
      </w:pPr>
      <w:r>
        <w:rPr>
          <w:rFonts w:hint="eastAsia" w:ascii="仿宋_GB2312" w:hAnsi="微软雅黑" w:eastAsia="仿宋_GB2312" w:cs="宋体"/>
          <w:color w:val="333333"/>
          <w:kern w:val="0"/>
          <w:sz w:val="28"/>
          <w:szCs w:val="28"/>
        </w:rPr>
        <w:t>为保证研究生课程线上授课效果和教学质量，研究生处按照学校教学工作方案进行精细谋划，制定线上教学运行和质量监督措施，规范线上教学工作的各个环节，充分做好线上教学的各种准备，确保研究生线上教学工作平稳有序高效开展。</w:t>
      </w:r>
    </w:p>
    <w:p>
      <w:pPr>
        <w:widowControl/>
        <w:shd w:val="clear" w:color="auto"/>
        <w:spacing w:line="360" w:lineRule="auto"/>
        <w:ind w:right="70" w:firstLine="562"/>
        <w:jc w:val="left"/>
        <w:rPr>
          <w:rFonts w:ascii="微软雅黑" w:hAnsi="微软雅黑" w:eastAsia="微软雅黑" w:cs="宋体"/>
          <w:color w:val="333333"/>
          <w:kern w:val="0"/>
          <w:szCs w:val="21"/>
        </w:rPr>
      </w:pPr>
      <w:r>
        <w:rPr>
          <w:rFonts w:hint="eastAsia" w:ascii="黑体" w:hAnsi="黑体" w:eastAsia="黑体" w:cs="宋体"/>
          <w:b/>
          <w:bCs/>
          <w:color w:val="333333"/>
          <w:kern w:val="0"/>
          <w:sz w:val="28"/>
          <w:szCs w:val="28"/>
        </w:rPr>
        <w:t>二、线上教学总体情况</w:t>
      </w:r>
    </w:p>
    <w:p>
      <w:pPr>
        <w:widowControl/>
        <w:shd w:val="clear" w:color="auto"/>
        <w:spacing w:line="360" w:lineRule="auto"/>
        <w:ind w:right="70" w:firstLine="560"/>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根据研究生</w:t>
      </w:r>
      <w:r>
        <w:rPr>
          <w:rFonts w:ascii="仿宋_GB2312" w:hAnsi="微软雅黑" w:eastAsia="仿宋_GB2312" w:cs="宋体"/>
          <w:color w:val="333333"/>
          <w:kern w:val="0"/>
          <w:sz w:val="28"/>
          <w:szCs w:val="28"/>
        </w:rPr>
        <w:t>培养方案，</w:t>
      </w:r>
      <w:r>
        <w:rPr>
          <w:rFonts w:hint="eastAsia" w:ascii="仿宋_GB2312" w:hAnsi="微软雅黑" w:eastAsia="仿宋_GB2312" w:cs="宋体"/>
          <w:color w:val="333333"/>
          <w:kern w:val="0"/>
          <w:sz w:val="28"/>
          <w:szCs w:val="28"/>
        </w:rPr>
        <w:t>研究生应</w:t>
      </w:r>
      <w:r>
        <w:rPr>
          <w:rFonts w:ascii="仿宋_GB2312" w:hAnsi="微软雅黑" w:eastAsia="仿宋_GB2312" w:cs="宋体"/>
          <w:color w:val="333333"/>
          <w:kern w:val="0"/>
          <w:sz w:val="28"/>
          <w:szCs w:val="28"/>
        </w:rPr>
        <w:t>开课</w:t>
      </w:r>
      <w:r>
        <w:rPr>
          <w:rFonts w:hint="eastAsia" w:ascii="仿宋_GB2312" w:hAnsi="微软雅黑" w:eastAsia="仿宋_GB2312" w:cs="宋体"/>
          <w:color w:val="333333"/>
          <w:kern w:val="0"/>
          <w:sz w:val="28"/>
          <w:szCs w:val="28"/>
        </w:rPr>
        <w:t>程379门</w:t>
      </w:r>
      <w:r>
        <w:rPr>
          <w:rFonts w:ascii="仿宋_GB2312" w:hAnsi="微软雅黑" w:eastAsia="仿宋_GB2312" w:cs="宋体"/>
          <w:color w:val="333333"/>
          <w:kern w:val="0"/>
          <w:sz w:val="28"/>
          <w:szCs w:val="28"/>
        </w:rPr>
        <w:t>，</w:t>
      </w:r>
      <w:r>
        <w:rPr>
          <w:rFonts w:hint="eastAsia" w:ascii="仿宋_GB2312" w:hAnsi="微软雅黑" w:eastAsia="仿宋_GB2312" w:cs="宋体"/>
          <w:color w:val="333333"/>
          <w:kern w:val="0"/>
          <w:sz w:val="28"/>
          <w:szCs w:val="28"/>
        </w:rPr>
        <w:t>线上教学开课</w:t>
      </w:r>
      <w:r>
        <w:rPr>
          <w:rFonts w:ascii="宋体" w:hAnsi="宋体" w:eastAsia="宋体" w:cs="宋体"/>
          <w:color w:val="333333"/>
          <w:kern w:val="0"/>
          <w:sz w:val="28"/>
          <w:szCs w:val="28"/>
        </w:rPr>
        <w:t>335</w:t>
      </w:r>
      <w:r>
        <w:rPr>
          <w:rFonts w:hint="eastAsia" w:ascii="仿宋_GB2312" w:hAnsi="微软雅黑" w:eastAsia="仿宋_GB2312" w:cs="宋体"/>
          <w:color w:val="333333"/>
          <w:kern w:val="0"/>
          <w:sz w:val="28"/>
          <w:szCs w:val="28"/>
        </w:rPr>
        <w:t>门，线上教学课程占本学期课程总量的</w:t>
      </w:r>
      <w:r>
        <w:rPr>
          <w:rFonts w:ascii="宋体" w:hAnsi="宋体" w:eastAsia="宋体" w:cs="宋体"/>
          <w:color w:val="333333"/>
          <w:kern w:val="0"/>
          <w:sz w:val="28"/>
          <w:szCs w:val="28"/>
        </w:rPr>
        <w:t>88.39</w:t>
      </w:r>
      <w:r>
        <w:rPr>
          <w:rFonts w:hint="eastAsia" w:ascii="宋体" w:hAnsi="宋体" w:eastAsia="宋体" w:cs="宋体"/>
          <w:color w:val="333333"/>
          <w:kern w:val="0"/>
          <w:sz w:val="28"/>
          <w:szCs w:val="28"/>
        </w:rPr>
        <w:t>%</w:t>
      </w:r>
      <w:r>
        <w:rPr>
          <w:rFonts w:hint="eastAsia" w:ascii="仿宋_GB2312" w:hAnsi="微软雅黑" w:eastAsia="仿宋_GB2312" w:cs="宋体"/>
          <w:color w:val="333333"/>
          <w:kern w:val="0"/>
          <w:sz w:val="28"/>
          <w:szCs w:val="28"/>
        </w:rPr>
        <w:t>。线上</w:t>
      </w:r>
      <w:r>
        <w:rPr>
          <w:rFonts w:ascii="仿宋_GB2312" w:hAnsi="微软雅黑" w:eastAsia="仿宋_GB2312" w:cs="宋体"/>
          <w:color w:val="333333"/>
          <w:kern w:val="0"/>
          <w:sz w:val="28"/>
          <w:szCs w:val="28"/>
        </w:rPr>
        <w:t>课程</w:t>
      </w:r>
      <w:r>
        <w:rPr>
          <w:rFonts w:hint="eastAsia" w:ascii="仿宋_GB2312" w:hAnsi="微软雅黑" w:eastAsia="仿宋_GB2312" w:cs="宋体"/>
          <w:color w:val="333333"/>
          <w:kern w:val="0"/>
          <w:sz w:val="28"/>
          <w:szCs w:val="28"/>
        </w:rPr>
        <w:t>包括硕士生公共课程</w:t>
      </w:r>
      <w:r>
        <w:rPr>
          <w:rFonts w:ascii="宋体" w:hAnsi="宋体" w:eastAsia="宋体" w:cs="宋体"/>
          <w:color w:val="333333"/>
          <w:kern w:val="0"/>
          <w:sz w:val="28"/>
          <w:szCs w:val="28"/>
        </w:rPr>
        <w:t>6</w:t>
      </w:r>
      <w:r>
        <w:rPr>
          <w:rFonts w:hint="eastAsia" w:ascii="仿宋_GB2312" w:hAnsi="微软雅黑" w:eastAsia="仿宋_GB2312" w:cs="宋体"/>
          <w:color w:val="333333"/>
          <w:kern w:val="0"/>
          <w:sz w:val="28"/>
          <w:szCs w:val="28"/>
        </w:rPr>
        <w:t>门，硕士生专业课程</w:t>
      </w:r>
      <w:r>
        <w:rPr>
          <w:rFonts w:ascii="宋体" w:hAnsi="宋体" w:eastAsia="宋体" w:cs="宋体"/>
          <w:color w:val="333333"/>
          <w:kern w:val="0"/>
          <w:sz w:val="28"/>
          <w:szCs w:val="28"/>
        </w:rPr>
        <w:t>307</w:t>
      </w:r>
      <w:r>
        <w:rPr>
          <w:rFonts w:hint="eastAsia" w:ascii="仿宋_GB2312" w:hAnsi="微软雅黑" w:eastAsia="仿宋_GB2312" w:cs="宋体"/>
          <w:color w:val="333333"/>
          <w:kern w:val="0"/>
          <w:sz w:val="28"/>
          <w:szCs w:val="28"/>
        </w:rPr>
        <w:t>门，博士生公共课程</w:t>
      </w:r>
      <w:r>
        <w:rPr>
          <w:rFonts w:ascii="宋体" w:hAnsi="宋体" w:eastAsia="宋体" w:cs="宋体"/>
          <w:color w:val="333333"/>
          <w:kern w:val="0"/>
          <w:sz w:val="28"/>
          <w:szCs w:val="28"/>
        </w:rPr>
        <w:t>3</w:t>
      </w:r>
      <w:r>
        <w:rPr>
          <w:rFonts w:hint="eastAsia" w:ascii="仿宋_GB2312" w:hAnsi="微软雅黑" w:eastAsia="仿宋_GB2312" w:cs="宋体"/>
          <w:color w:val="333333"/>
          <w:kern w:val="0"/>
          <w:sz w:val="28"/>
          <w:szCs w:val="28"/>
        </w:rPr>
        <w:t>门，硕士生专业课程19门；共涉及任课教师</w:t>
      </w:r>
      <w:r>
        <w:rPr>
          <w:rFonts w:hint="eastAsia" w:ascii="仿宋_GB2312" w:hAnsi="微软雅黑" w:eastAsia="仿宋_GB2312" w:cs="宋体"/>
          <w:color w:val="333333"/>
          <w:kern w:val="0"/>
          <w:sz w:val="28"/>
          <w:szCs w:val="28"/>
          <w:lang w:val="en-US" w:eastAsia="zh-CN"/>
        </w:rPr>
        <w:t>297</w:t>
      </w:r>
      <w:r>
        <w:rPr>
          <w:rFonts w:hint="eastAsia" w:ascii="仿宋_GB2312" w:hAnsi="微软雅黑" w:eastAsia="仿宋_GB2312" w:cs="宋体"/>
          <w:color w:val="333333"/>
          <w:kern w:val="0"/>
          <w:sz w:val="28"/>
          <w:szCs w:val="28"/>
        </w:rPr>
        <w:t>人，累计听课研究生数达4</w:t>
      </w:r>
      <w:r>
        <w:rPr>
          <w:rFonts w:hint="eastAsia" w:ascii="仿宋_GB2312" w:hAnsi="微软雅黑" w:eastAsia="仿宋_GB2312" w:cs="宋体"/>
          <w:color w:val="333333"/>
          <w:kern w:val="0"/>
          <w:sz w:val="28"/>
          <w:szCs w:val="28"/>
          <w:lang w:val="en-US" w:eastAsia="zh-CN"/>
        </w:rPr>
        <w:t>732</w:t>
      </w:r>
      <w:r>
        <w:rPr>
          <w:rFonts w:hint="eastAsia" w:ascii="仿宋_GB2312" w:hAnsi="微软雅黑" w:eastAsia="仿宋_GB2312" w:cs="宋体"/>
          <w:color w:val="333333"/>
          <w:kern w:val="0"/>
          <w:sz w:val="28"/>
          <w:szCs w:val="28"/>
        </w:rPr>
        <w:t>人。</w:t>
      </w:r>
    </w:p>
    <w:tbl>
      <w:tblPr>
        <w:tblStyle w:val="5"/>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6"/>
        <w:gridCol w:w="960"/>
        <w:gridCol w:w="904"/>
        <w:gridCol w:w="101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46" w:type="dxa"/>
            <w:vAlign w:val="center"/>
          </w:tcPr>
          <w:p>
            <w:pPr>
              <w:shd w:val="clear"/>
              <w:spacing w:line="500" w:lineRule="exact"/>
              <w:jc w:val="center"/>
              <w:rPr>
                <w:rFonts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课程类别</w:t>
            </w:r>
          </w:p>
        </w:tc>
        <w:tc>
          <w:tcPr>
            <w:tcW w:w="960" w:type="dxa"/>
            <w:vAlign w:val="center"/>
          </w:tcPr>
          <w:p>
            <w:pPr>
              <w:shd w:val="clear"/>
              <w:spacing w:line="360" w:lineRule="exact"/>
              <w:jc w:val="center"/>
              <w:rPr>
                <w:rFonts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应开课</w:t>
            </w:r>
            <w:r>
              <w:rPr>
                <w:rFonts w:ascii="仿宋_GB2312" w:hAnsi="微软雅黑" w:eastAsia="仿宋_GB2312" w:cs="宋体"/>
                <w:b/>
                <w:bCs/>
                <w:color w:val="333333"/>
                <w:kern w:val="0"/>
                <w:sz w:val="28"/>
                <w:szCs w:val="28"/>
              </w:rPr>
              <w:t>数</w:t>
            </w:r>
          </w:p>
        </w:tc>
        <w:tc>
          <w:tcPr>
            <w:tcW w:w="904" w:type="dxa"/>
            <w:vAlign w:val="center"/>
          </w:tcPr>
          <w:p>
            <w:pPr>
              <w:shd w:val="clear"/>
              <w:spacing w:line="360" w:lineRule="exact"/>
              <w:jc w:val="center"/>
              <w:rPr>
                <w:rFonts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实际开课数</w:t>
            </w:r>
          </w:p>
        </w:tc>
        <w:tc>
          <w:tcPr>
            <w:tcW w:w="1015" w:type="dxa"/>
            <w:vAlign w:val="center"/>
          </w:tcPr>
          <w:p>
            <w:pPr>
              <w:shd w:val="clear"/>
              <w:spacing w:line="500" w:lineRule="exact"/>
              <w:jc w:val="center"/>
              <w:rPr>
                <w:rFonts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开课</w:t>
            </w:r>
            <w:r>
              <w:rPr>
                <w:rFonts w:ascii="仿宋_GB2312" w:hAnsi="微软雅黑" w:eastAsia="仿宋_GB2312" w:cs="宋体"/>
                <w:b/>
                <w:bCs/>
                <w:color w:val="333333"/>
                <w:kern w:val="0"/>
                <w:sz w:val="28"/>
                <w:szCs w:val="28"/>
              </w:rPr>
              <w:t>率</w:t>
            </w:r>
          </w:p>
        </w:tc>
        <w:tc>
          <w:tcPr>
            <w:tcW w:w="3697" w:type="dxa"/>
            <w:vAlign w:val="center"/>
          </w:tcPr>
          <w:p>
            <w:pPr>
              <w:shd w:val="clear"/>
              <w:spacing w:line="500" w:lineRule="exact"/>
              <w:jc w:val="center"/>
              <w:rPr>
                <w:rFonts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未开课</w:t>
            </w:r>
            <w:r>
              <w:rPr>
                <w:rFonts w:ascii="仿宋_GB2312" w:hAnsi="微软雅黑" w:eastAsia="仿宋_GB2312" w:cs="宋体"/>
                <w:b/>
                <w:bCs/>
                <w:color w:val="333333"/>
                <w:kern w:val="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46"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硕士公共课</w:t>
            </w:r>
          </w:p>
        </w:tc>
        <w:tc>
          <w:tcPr>
            <w:tcW w:w="960"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6</w:t>
            </w:r>
          </w:p>
        </w:tc>
        <w:tc>
          <w:tcPr>
            <w:tcW w:w="904"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6</w:t>
            </w:r>
          </w:p>
        </w:tc>
        <w:tc>
          <w:tcPr>
            <w:tcW w:w="1015"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100%</w:t>
            </w:r>
          </w:p>
        </w:tc>
        <w:tc>
          <w:tcPr>
            <w:tcW w:w="3697"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646"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硕士专业课</w:t>
            </w:r>
          </w:p>
        </w:tc>
        <w:tc>
          <w:tcPr>
            <w:tcW w:w="960"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348</w:t>
            </w:r>
          </w:p>
        </w:tc>
        <w:tc>
          <w:tcPr>
            <w:tcW w:w="904"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307</w:t>
            </w:r>
          </w:p>
        </w:tc>
        <w:tc>
          <w:tcPr>
            <w:tcW w:w="1015"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88%</w:t>
            </w:r>
          </w:p>
        </w:tc>
        <w:tc>
          <w:tcPr>
            <w:tcW w:w="3697" w:type="dxa"/>
            <w:vAlign w:val="center"/>
          </w:tcPr>
          <w:p>
            <w:pPr>
              <w:shd w:val="clear"/>
              <w:spacing w:line="400" w:lineRule="exact"/>
              <w:jc w:val="lef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因</w:t>
            </w:r>
            <w:r>
              <w:rPr>
                <w:rFonts w:ascii="仿宋_GB2312" w:hAnsi="微软雅黑" w:eastAsia="仿宋_GB2312" w:cs="宋体"/>
                <w:color w:val="333333"/>
                <w:kern w:val="0"/>
                <w:sz w:val="28"/>
                <w:szCs w:val="28"/>
              </w:rPr>
              <w:t>术科、实验等研究生课程</w:t>
            </w:r>
            <w:r>
              <w:rPr>
                <w:rFonts w:hint="eastAsia" w:ascii="仿宋_GB2312" w:hAnsi="微软雅黑" w:eastAsia="仿宋_GB2312" w:cs="宋体"/>
                <w:color w:val="333333"/>
                <w:kern w:val="0"/>
                <w:sz w:val="28"/>
                <w:szCs w:val="28"/>
              </w:rPr>
              <w:t>不</w:t>
            </w:r>
            <w:r>
              <w:rPr>
                <w:rFonts w:ascii="仿宋_GB2312" w:hAnsi="微软雅黑" w:eastAsia="仿宋_GB2312" w:cs="宋体"/>
                <w:color w:val="333333"/>
                <w:kern w:val="0"/>
                <w:sz w:val="28"/>
                <w:szCs w:val="28"/>
              </w:rPr>
              <w:t>适于线上授课</w:t>
            </w:r>
            <w:r>
              <w:rPr>
                <w:rFonts w:hint="eastAsia" w:ascii="仿宋_GB2312" w:hAnsi="微软雅黑" w:eastAsia="仿宋_GB2312" w:cs="宋体"/>
                <w:color w:val="333333"/>
                <w:kern w:val="0"/>
                <w:sz w:val="28"/>
                <w:szCs w:val="28"/>
              </w:rPr>
              <w:t>，部分课程待</w:t>
            </w:r>
            <w:r>
              <w:rPr>
                <w:rFonts w:ascii="仿宋_GB2312" w:hAnsi="微软雅黑" w:eastAsia="仿宋_GB2312" w:cs="宋体"/>
                <w:color w:val="333333"/>
                <w:kern w:val="0"/>
                <w:sz w:val="28"/>
                <w:szCs w:val="28"/>
              </w:rPr>
              <w:t>学生</w:t>
            </w:r>
            <w:r>
              <w:rPr>
                <w:rFonts w:hint="eastAsia" w:ascii="仿宋_GB2312" w:hAnsi="微软雅黑" w:eastAsia="仿宋_GB2312" w:cs="宋体"/>
                <w:color w:val="333333"/>
                <w:kern w:val="0"/>
                <w:sz w:val="28"/>
                <w:szCs w:val="28"/>
              </w:rPr>
              <w:t>进校</w:t>
            </w:r>
            <w:r>
              <w:rPr>
                <w:rFonts w:ascii="仿宋_GB2312" w:hAnsi="微软雅黑" w:eastAsia="仿宋_GB2312" w:cs="宋体"/>
                <w:color w:val="333333"/>
                <w:kern w:val="0"/>
                <w:sz w:val="28"/>
                <w:szCs w:val="28"/>
              </w:rPr>
              <w:t>之后补课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46"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博士公共课</w:t>
            </w:r>
          </w:p>
        </w:tc>
        <w:tc>
          <w:tcPr>
            <w:tcW w:w="960"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3</w:t>
            </w:r>
          </w:p>
        </w:tc>
        <w:tc>
          <w:tcPr>
            <w:tcW w:w="904"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3</w:t>
            </w:r>
          </w:p>
        </w:tc>
        <w:tc>
          <w:tcPr>
            <w:tcW w:w="1015"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100%</w:t>
            </w:r>
          </w:p>
        </w:tc>
        <w:tc>
          <w:tcPr>
            <w:tcW w:w="3697"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46" w:type="dxa"/>
            <w:vAlign w:val="center"/>
          </w:tcPr>
          <w:p>
            <w:pPr>
              <w:shd w:val="clear"/>
              <w:spacing w:line="500" w:lineRule="exact"/>
              <w:jc w:val="center"/>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博士专业课</w:t>
            </w:r>
          </w:p>
        </w:tc>
        <w:tc>
          <w:tcPr>
            <w:tcW w:w="960"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22</w:t>
            </w:r>
          </w:p>
        </w:tc>
        <w:tc>
          <w:tcPr>
            <w:tcW w:w="904"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19</w:t>
            </w:r>
          </w:p>
        </w:tc>
        <w:tc>
          <w:tcPr>
            <w:tcW w:w="1015" w:type="dxa"/>
            <w:vAlign w:val="center"/>
          </w:tcPr>
          <w:p>
            <w:pPr>
              <w:shd w:val="clear"/>
              <w:spacing w:line="500" w:lineRule="exact"/>
              <w:jc w:val="center"/>
              <w:rPr>
                <w:rFonts w:ascii="Times New Roman" w:hAnsi="Times New Roman" w:eastAsia="仿宋_GB2312" w:cs="Times New Roman"/>
                <w:color w:val="333333"/>
                <w:kern w:val="0"/>
                <w:sz w:val="28"/>
                <w:szCs w:val="28"/>
              </w:rPr>
            </w:pPr>
            <w:r>
              <w:rPr>
                <w:rFonts w:ascii="Times New Roman" w:hAnsi="Times New Roman" w:eastAsia="仿宋_GB2312" w:cs="Times New Roman"/>
                <w:color w:val="333333"/>
                <w:kern w:val="0"/>
                <w:sz w:val="28"/>
                <w:szCs w:val="28"/>
              </w:rPr>
              <w:t>86%</w:t>
            </w:r>
          </w:p>
        </w:tc>
        <w:tc>
          <w:tcPr>
            <w:tcW w:w="3697" w:type="dxa"/>
            <w:vAlign w:val="center"/>
          </w:tcPr>
          <w:p>
            <w:pPr>
              <w:shd w:val="clear"/>
              <w:spacing w:line="500" w:lineRule="exact"/>
              <w:jc w:val="lef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3门课</w:t>
            </w:r>
            <w:r>
              <w:rPr>
                <w:rFonts w:ascii="仿宋_GB2312" w:hAnsi="微软雅黑" w:eastAsia="仿宋_GB2312" w:cs="宋体"/>
                <w:color w:val="333333"/>
                <w:kern w:val="0"/>
                <w:sz w:val="28"/>
                <w:szCs w:val="28"/>
              </w:rPr>
              <w:t>第</w:t>
            </w:r>
            <w:r>
              <w:rPr>
                <w:rFonts w:hint="eastAsia" w:ascii="仿宋_GB2312" w:hAnsi="微软雅黑" w:eastAsia="仿宋_GB2312" w:cs="宋体"/>
                <w:color w:val="333333"/>
                <w:kern w:val="0"/>
                <w:sz w:val="28"/>
                <w:szCs w:val="28"/>
              </w:rPr>
              <w:t>4</w:t>
            </w:r>
            <w:r>
              <w:rPr>
                <w:rFonts w:ascii="仿宋_GB2312" w:hAnsi="微软雅黑" w:eastAsia="仿宋_GB2312" w:cs="宋体"/>
                <w:color w:val="333333"/>
                <w:kern w:val="0"/>
                <w:sz w:val="28"/>
                <w:szCs w:val="28"/>
              </w:rPr>
              <w:t>周开始开课</w:t>
            </w:r>
          </w:p>
        </w:tc>
      </w:tr>
    </w:tbl>
    <w:p>
      <w:pPr>
        <w:widowControl/>
        <w:shd w:val="clear" w:color="auto"/>
        <w:spacing w:line="360" w:lineRule="auto"/>
        <w:ind w:right="70" w:firstLine="560"/>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在线上教学第一周，各学院充分发挥导师在研究生培养过程中的主体作用，结合学科专业特点、课程教学要求和实际授课人数等具体情况，有针对性地制定研究生线上教学工作推进计划，积极鼓励和引导教师利用好线上平台，采取线上授课、线下自学与在线指导相结合等多种形式开展教学。同时，通过授课内容审查、教学过程检查、学院督查等方式，加强线上教学的质量监督工作，全力保证研究生课程在线教学与面授教学同质等效。</w:t>
      </w:r>
    </w:p>
    <w:p>
      <w:pPr>
        <w:widowControl/>
        <w:shd w:val="clear" w:color="auto"/>
        <w:spacing w:line="360" w:lineRule="auto"/>
        <w:ind w:right="70" w:firstLine="560"/>
        <w:rPr>
          <w:rFonts w:ascii="微软雅黑" w:hAnsi="微软雅黑" w:eastAsia="微软雅黑" w:cs="宋体"/>
          <w:color w:val="333333"/>
          <w:kern w:val="0"/>
          <w:szCs w:val="21"/>
        </w:rPr>
      </w:pPr>
      <w:r>
        <w:rPr>
          <w:rFonts w:hint="eastAsia" w:ascii="仿宋_GB2312" w:hAnsi="微软雅黑" w:eastAsia="仿宋_GB2312" w:cs="宋体"/>
          <w:color w:val="333333"/>
          <w:kern w:val="0"/>
          <w:sz w:val="28"/>
          <w:szCs w:val="28"/>
        </w:rPr>
        <w:t>在线上教学过程中，教师以培养高层次人才为己任，结合线上教学要求，合理设计教学环节，运用钉钉、长江</w:t>
      </w:r>
      <w:r>
        <w:rPr>
          <w:rFonts w:ascii="仿宋_GB2312" w:hAnsi="微软雅黑" w:eastAsia="仿宋_GB2312" w:cs="宋体"/>
          <w:color w:val="333333"/>
          <w:kern w:val="0"/>
          <w:sz w:val="28"/>
          <w:szCs w:val="28"/>
        </w:rPr>
        <w:t>雨课堂</w:t>
      </w:r>
      <w:r>
        <w:rPr>
          <w:rFonts w:hint="eastAsia" w:ascii="仿宋_GB2312" w:hAnsi="微软雅黑" w:eastAsia="仿宋_GB2312" w:cs="宋体"/>
          <w:color w:val="333333"/>
          <w:kern w:val="0"/>
          <w:sz w:val="28"/>
          <w:szCs w:val="28"/>
        </w:rPr>
        <w:t>、</w:t>
      </w:r>
      <w:r>
        <w:rPr>
          <w:rFonts w:hint="eastAsia" w:ascii="宋体" w:hAnsi="宋体" w:eastAsia="宋体" w:cs="宋体"/>
          <w:color w:val="333333"/>
          <w:kern w:val="0"/>
          <w:sz w:val="28"/>
          <w:szCs w:val="28"/>
        </w:rPr>
        <w:t>QQ</w:t>
      </w:r>
      <w:r>
        <w:rPr>
          <w:rFonts w:hint="eastAsia" w:ascii="仿宋_GB2312" w:hAnsi="微软雅黑" w:eastAsia="仿宋_GB2312" w:cs="宋体"/>
          <w:color w:val="333333"/>
          <w:kern w:val="0"/>
          <w:sz w:val="28"/>
          <w:szCs w:val="28"/>
        </w:rPr>
        <w:t>群、微信群等各种网络平台，采取线上直播、线下录播、互动交流研讨等授课模式，全身心地投入到研究生线上教学工作中。此外，针对部分线上学习有困难的研究生，开展“线上不足，线下补”活动，以更好地指导学生的课程学习，确保良好的教学效果。</w:t>
      </w:r>
    </w:p>
    <w:p>
      <w:pPr>
        <w:widowControl/>
        <w:shd w:val="clear" w:color="auto"/>
        <w:spacing w:line="360" w:lineRule="auto"/>
        <w:ind w:right="70" w:firstLine="420"/>
        <w:rPr>
          <w:rFonts w:ascii="仿宋_GB2312" w:hAnsi="微软雅黑" w:eastAsia="仿宋_GB2312" w:cs="宋体"/>
          <w:color w:val="333333"/>
          <w:kern w:val="0"/>
          <w:sz w:val="28"/>
          <w:szCs w:val="28"/>
        </w:rPr>
      </w:pPr>
      <w:r>
        <w:rPr>
          <w:rFonts w:hint="eastAsia" w:ascii="微软雅黑" w:hAnsi="微软雅黑" w:eastAsia="微软雅黑" w:cs="宋体"/>
          <w:color w:val="333333"/>
          <w:kern w:val="0"/>
          <w:szCs w:val="21"/>
        </w:rPr>
        <w:t> </w:t>
      </w:r>
      <w:r>
        <w:rPr>
          <w:rFonts w:hint="eastAsia" w:ascii="仿宋_GB2312" w:hAnsi="微软雅黑" w:eastAsia="仿宋_GB2312" w:cs="宋体"/>
          <w:color w:val="333333"/>
          <w:kern w:val="0"/>
          <w:sz w:val="28"/>
          <w:szCs w:val="28"/>
        </w:rPr>
        <w:t>通过线上教学第一周的听课检查、各学院线上教学数据</w:t>
      </w:r>
      <w:r>
        <w:rPr>
          <w:rFonts w:ascii="仿宋_GB2312" w:hAnsi="微软雅黑" w:eastAsia="仿宋_GB2312" w:cs="宋体"/>
          <w:color w:val="333333"/>
          <w:kern w:val="0"/>
          <w:sz w:val="28"/>
          <w:szCs w:val="28"/>
        </w:rPr>
        <w:t>统计</w:t>
      </w:r>
      <w:r>
        <w:rPr>
          <w:rFonts w:hint="eastAsia" w:ascii="仿宋_GB2312" w:hAnsi="微软雅黑" w:eastAsia="仿宋_GB2312" w:cs="宋体"/>
          <w:color w:val="333333"/>
          <w:kern w:val="0"/>
          <w:sz w:val="28"/>
          <w:szCs w:val="28"/>
        </w:rPr>
        <w:t>以及研究生对线上课程教学效果的反馈，研究生线上教学第一周秩序良好。</w:t>
      </w:r>
    </w:p>
    <w:p>
      <w:pPr>
        <w:widowControl/>
        <w:shd w:val="clear" w:color="auto"/>
        <w:spacing w:line="360" w:lineRule="auto"/>
        <w:ind w:right="70" w:firstLine="562"/>
        <w:jc w:val="left"/>
        <w:rPr>
          <w:rFonts w:ascii="微软雅黑" w:hAnsi="微软雅黑" w:eastAsia="微软雅黑" w:cs="宋体"/>
          <w:color w:val="333333"/>
          <w:kern w:val="0"/>
          <w:szCs w:val="21"/>
        </w:rPr>
      </w:pPr>
      <w:r>
        <w:rPr>
          <w:rFonts w:hint="eastAsia" w:ascii="黑体" w:hAnsi="黑体" w:eastAsia="黑体" w:cs="宋体"/>
          <w:b/>
          <w:bCs/>
          <w:color w:val="333333"/>
          <w:kern w:val="0"/>
          <w:sz w:val="28"/>
          <w:szCs w:val="28"/>
          <w:lang w:eastAsia="zh-CN"/>
        </w:rPr>
        <w:t>三</w:t>
      </w:r>
      <w:r>
        <w:rPr>
          <w:rFonts w:hint="eastAsia" w:ascii="黑体" w:hAnsi="黑体" w:eastAsia="黑体" w:cs="宋体"/>
          <w:b/>
          <w:bCs/>
          <w:color w:val="333333"/>
          <w:kern w:val="0"/>
          <w:sz w:val="28"/>
          <w:szCs w:val="28"/>
        </w:rPr>
        <w:t>、线上教学质量监督</w:t>
      </w:r>
    </w:p>
    <w:p>
      <w:pPr>
        <w:widowControl/>
        <w:shd w:val="clear" w:color="auto"/>
        <w:spacing w:line="360" w:lineRule="auto"/>
        <w:ind w:right="70" w:firstLine="560"/>
        <w:rPr>
          <w:rFonts w:hint="eastAsia" w:ascii="微软雅黑" w:hAnsi="微软雅黑" w:eastAsia="微软雅黑" w:cs="宋体"/>
          <w:color w:val="333333"/>
          <w:kern w:val="0"/>
          <w:szCs w:val="21"/>
        </w:rPr>
      </w:pPr>
      <w:r>
        <w:rPr>
          <w:rFonts w:hint="eastAsia" w:ascii="仿宋_GB2312" w:hAnsi="微软雅黑" w:eastAsia="仿宋_GB2312" w:cs="宋体"/>
          <w:color w:val="333333"/>
          <w:kern w:val="0"/>
          <w:sz w:val="28"/>
          <w:szCs w:val="28"/>
        </w:rPr>
        <w:t>在线上教学第一周实施过程中，按照《2020-2021学年第二学期研究生开学初教学检查通知》要求，研究生处和各学院明确分工，对公共外语课程和专业课程进行检查抽查，包括课程线上平台的稳定性和教学实施效果等方面，并要求各学院认真总结和分析第一周线上教学的各种情况，及时发现和解决问题，以保证线上课程教学质量和学习效果。</w:t>
      </w:r>
    </w:p>
    <w:p>
      <w:pPr>
        <w:widowControl/>
        <w:shd w:val="clear" w:color="auto"/>
        <w:spacing w:line="360" w:lineRule="auto"/>
        <w:ind w:right="70" w:firstLine="562"/>
        <w:jc w:val="left"/>
        <w:rPr>
          <w:rFonts w:hint="eastAsia" w:ascii="微软雅黑" w:hAnsi="微软雅黑" w:eastAsia="微软雅黑" w:cs="宋体"/>
          <w:color w:val="333333"/>
          <w:kern w:val="0"/>
          <w:szCs w:val="21"/>
        </w:rPr>
      </w:pPr>
      <w:r>
        <w:rPr>
          <w:rFonts w:hint="eastAsia" w:ascii="黑体" w:hAnsi="黑体" w:eastAsia="黑体" w:cs="宋体"/>
          <w:b/>
          <w:bCs/>
          <w:color w:val="333333"/>
          <w:kern w:val="0"/>
          <w:sz w:val="28"/>
          <w:szCs w:val="28"/>
          <w:lang w:eastAsia="zh-CN"/>
        </w:rPr>
        <w:t>四</w:t>
      </w:r>
      <w:r>
        <w:rPr>
          <w:rFonts w:hint="eastAsia" w:ascii="黑体" w:hAnsi="黑体" w:eastAsia="黑体" w:cs="宋体"/>
          <w:b/>
          <w:bCs/>
          <w:color w:val="333333"/>
          <w:kern w:val="0"/>
          <w:sz w:val="28"/>
          <w:szCs w:val="28"/>
        </w:rPr>
        <w:t>、存在问题与改进措施</w:t>
      </w:r>
    </w:p>
    <w:p>
      <w:pPr>
        <w:widowControl/>
        <w:shd w:val="clear" w:color="auto"/>
        <w:spacing w:line="360" w:lineRule="auto"/>
        <w:ind w:right="70" w:firstLine="560"/>
        <w:rPr>
          <w:rFonts w:hint="eastAsia" w:ascii="微软雅黑" w:hAnsi="微软雅黑" w:eastAsia="微软雅黑" w:cs="宋体"/>
          <w:color w:val="333333"/>
          <w:kern w:val="0"/>
          <w:szCs w:val="21"/>
        </w:rPr>
      </w:pPr>
      <w:r>
        <w:rPr>
          <w:rFonts w:hint="eastAsia" w:ascii="仿宋_GB2312" w:hAnsi="微软雅黑" w:eastAsia="仿宋_GB2312" w:cs="宋体"/>
          <w:color w:val="333333"/>
          <w:kern w:val="0"/>
          <w:sz w:val="28"/>
          <w:szCs w:val="28"/>
        </w:rPr>
        <w:t>从线上教学第一周运行情况来看，研究生课程线上教学过程仍存在一定的问题，例如，有的任课教师对线上教学平台及软件使用的熟练程度还有待于进一步加强；有的任课教师由于班额较大无法与学生进行线上实时互动交流；有的线上课程教学过程会受到网络卡顿等因素的不利影响。</w:t>
      </w:r>
    </w:p>
    <w:p>
      <w:pPr>
        <w:widowControl/>
        <w:shd w:val="clear" w:color="auto"/>
        <w:spacing w:line="360" w:lineRule="auto"/>
        <w:ind w:right="70" w:firstLine="560"/>
        <w:rPr>
          <w:rFonts w:hint="eastAsia" w:ascii="微软雅黑" w:hAnsi="微软雅黑" w:eastAsia="微软雅黑" w:cs="宋体"/>
          <w:color w:val="333333"/>
          <w:kern w:val="0"/>
          <w:szCs w:val="21"/>
        </w:rPr>
      </w:pPr>
      <w:r>
        <w:rPr>
          <w:rFonts w:hint="eastAsia" w:ascii="仿宋_GB2312" w:hAnsi="微软雅黑" w:eastAsia="仿宋_GB2312" w:cs="宋体"/>
          <w:color w:val="333333"/>
          <w:kern w:val="0"/>
          <w:sz w:val="28"/>
          <w:szCs w:val="28"/>
        </w:rPr>
        <w:t>针对线上教学第一周出现的上述问题，研究生处将与各学院进行及时分析总结，推广线上教学优秀案例的经验，不断提升任课教师线上教学平台或软件使用的技能和水平，调动学生参与线上课堂学习的积极性和主动性，从而更好地保障后续线上教学的平稳运行。</w:t>
      </w:r>
    </w:p>
    <w:p>
      <w:pPr>
        <w:widowControl/>
        <w:shd w:val="clear" w:color="auto"/>
        <w:spacing w:line="360" w:lineRule="auto"/>
        <w:ind w:right="490" w:firstLine="420"/>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                                                           </w:t>
      </w:r>
    </w:p>
    <w:p>
      <w:pPr>
        <w:widowControl/>
        <w:shd w:val="clear" w:color="auto"/>
        <w:spacing w:line="360" w:lineRule="auto"/>
        <w:ind w:right="490" w:firstLine="420"/>
        <w:jc w:val="center"/>
        <w:rPr>
          <w:rFonts w:ascii="仿宋_GB2312" w:hAnsi="微软雅黑" w:eastAsia="仿宋_GB2312" w:cs="宋体"/>
          <w:color w:val="333333"/>
          <w:kern w:val="0"/>
          <w:sz w:val="28"/>
          <w:szCs w:val="28"/>
        </w:rPr>
      </w:pPr>
      <w:r>
        <w:rPr>
          <w:rFonts w:ascii="微软雅黑" w:hAnsi="微软雅黑" w:eastAsia="微软雅黑" w:cs="宋体"/>
          <w:color w:val="333333"/>
          <w:kern w:val="0"/>
          <w:szCs w:val="21"/>
        </w:rPr>
        <w:t xml:space="preserve">                                                         </w:t>
      </w:r>
      <w:r>
        <w:rPr>
          <w:rFonts w:hint="eastAsia" w:ascii="微软雅黑" w:hAnsi="微软雅黑" w:eastAsia="微软雅黑" w:cs="宋体"/>
          <w:color w:val="333333"/>
          <w:kern w:val="0"/>
          <w:szCs w:val="21"/>
          <w:lang w:val="en-US" w:eastAsia="zh-CN"/>
        </w:rPr>
        <w:t xml:space="preserve"> </w:t>
      </w:r>
      <w:r>
        <w:rPr>
          <w:rFonts w:hint="eastAsia" w:ascii="仿宋_GB2312" w:hAnsi="微软雅黑" w:eastAsia="仿宋_GB2312" w:cs="宋体"/>
          <w:color w:val="333333"/>
          <w:kern w:val="0"/>
          <w:sz w:val="28"/>
          <w:szCs w:val="28"/>
        </w:rPr>
        <w:t>研究生</w:t>
      </w:r>
      <w:r>
        <w:rPr>
          <w:rFonts w:ascii="仿宋_GB2312" w:hAnsi="微软雅黑" w:eastAsia="仿宋_GB2312" w:cs="宋体"/>
          <w:color w:val="333333"/>
          <w:kern w:val="0"/>
          <w:sz w:val="28"/>
          <w:szCs w:val="28"/>
        </w:rPr>
        <w:t>处</w:t>
      </w:r>
    </w:p>
    <w:p>
      <w:pPr>
        <w:widowControl/>
        <w:shd w:val="clear" w:color="auto"/>
        <w:spacing w:line="360" w:lineRule="auto"/>
        <w:ind w:right="70" w:firstLine="420"/>
        <w:jc w:val="righ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202</w:t>
      </w:r>
      <w:r>
        <w:rPr>
          <w:rFonts w:hint="eastAsia" w:ascii="仿宋_GB2312" w:hAnsi="微软雅黑" w:eastAsia="仿宋_GB2312" w:cs="宋体"/>
          <w:color w:val="333333"/>
          <w:kern w:val="0"/>
          <w:sz w:val="28"/>
          <w:szCs w:val="28"/>
          <w:lang w:val="en-US" w:eastAsia="zh-CN"/>
        </w:rPr>
        <w:t>1</w:t>
      </w:r>
      <w:r>
        <w:rPr>
          <w:rFonts w:hint="eastAsia" w:ascii="仿宋_GB2312" w:hAnsi="微软雅黑" w:eastAsia="仿宋_GB2312" w:cs="宋体"/>
          <w:color w:val="333333"/>
          <w:kern w:val="0"/>
          <w:sz w:val="28"/>
          <w:szCs w:val="28"/>
        </w:rPr>
        <w:t>年3月12日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E67"/>
    <w:multiLevelType w:val="multilevel"/>
    <w:tmpl w:val="05B93E67"/>
    <w:lvl w:ilvl="0" w:tentative="0">
      <w:start w:val="1"/>
      <w:numFmt w:val="japaneseCounting"/>
      <w:lvlText w:val="%1、"/>
      <w:lvlJc w:val="left"/>
      <w:pPr>
        <w:ind w:left="1162" w:hanging="600"/>
      </w:pPr>
      <w:rPr>
        <w:rFonts w:hint="default"/>
        <w:lang w:val="en-US"/>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45"/>
    <w:rsid w:val="00025F24"/>
    <w:rsid w:val="000707A1"/>
    <w:rsid w:val="000F0B71"/>
    <w:rsid w:val="00165C77"/>
    <w:rsid w:val="0023744F"/>
    <w:rsid w:val="002F2675"/>
    <w:rsid w:val="003409E5"/>
    <w:rsid w:val="00535861"/>
    <w:rsid w:val="005470F4"/>
    <w:rsid w:val="00552F3B"/>
    <w:rsid w:val="005A1DCC"/>
    <w:rsid w:val="00697028"/>
    <w:rsid w:val="006E4B6D"/>
    <w:rsid w:val="006E70C4"/>
    <w:rsid w:val="007B017B"/>
    <w:rsid w:val="007B7F45"/>
    <w:rsid w:val="007E76FB"/>
    <w:rsid w:val="00917594"/>
    <w:rsid w:val="00940031"/>
    <w:rsid w:val="00963626"/>
    <w:rsid w:val="009E5239"/>
    <w:rsid w:val="00A83553"/>
    <w:rsid w:val="00A92005"/>
    <w:rsid w:val="00B65F11"/>
    <w:rsid w:val="00C66871"/>
    <w:rsid w:val="00CE587D"/>
    <w:rsid w:val="00D04C54"/>
    <w:rsid w:val="00D368D3"/>
    <w:rsid w:val="00EE74B0"/>
    <w:rsid w:val="00F41F4C"/>
    <w:rsid w:val="00F737FF"/>
    <w:rsid w:val="010A6A70"/>
    <w:rsid w:val="05D861CA"/>
    <w:rsid w:val="09C81B63"/>
    <w:rsid w:val="0A533A04"/>
    <w:rsid w:val="0C0A7A0C"/>
    <w:rsid w:val="0C711FEB"/>
    <w:rsid w:val="0FF32E02"/>
    <w:rsid w:val="189C5347"/>
    <w:rsid w:val="1949074D"/>
    <w:rsid w:val="1A360745"/>
    <w:rsid w:val="1F924216"/>
    <w:rsid w:val="267F2521"/>
    <w:rsid w:val="2A737FCA"/>
    <w:rsid w:val="2AA34C4F"/>
    <w:rsid w:val="342340D2"/>
    <w:rsid w:val="34F04D1D"/>
    <w:rsid w:val="392B456E"/>
    <w:rsid w:val="3DA23081"/>
    <w:rsid w:val="47D714CA"/>
    <w:rsid w:val="4DEE4BE2"/>
    <w:rsid w:val="51A36C14"/>
    <w:rsid w:val="51C176ED"/>
    <w:rsid w:val="582420C4"/>
    <w:rsid w:val="58C1446C"/>
    <w:rsid w:val="5F5227EA"/>
    <w:rsid w:val="5F9E448B"/>
    <w:rsid w:val="625A665A"/>
    <w:rsid w:val="62F642A7"/>
    <w:rsid w:val="6A885609"/>
    <w:rsid w:val="6D0A0EA8"/>
    <w:rsid w:val="7B7C5212"/>
    <w:rsid w:val="7C761DAA"/>
    <w:rsid w:val="7C98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225</Words>
  <Characters>1289</Characters>
  <Lines>10</Lines>
  <Paragraphs>3</Paragraphs>
  <TotalTime>69</TotalTime>
  <ScaleCrop>false</ScaleCrop>
  <LinksUpToDate>false</LinksUpToDate>
  <CharactersWithSpaces>1511</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2020-03-30T08:20:00Z</dcterms:created>
  <dc:creator>215</dc:creator>
  <cp:lastModifiedBy>Lenovo</cp:lastModifiedBy>
  <dcterms:modified xsi:type="dcterms:W3CDTF">2021-03-15T03:05:41Z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